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4" w:type="dxa"/>
        <w:tblInd w:w="-432" w:type="dxa"/>
        <w:tblLook w:val="00A0"/>
      </w:tblPr>
      <w:tblGrid>
        <w:gridCol w:w="644"/>
        <w:gridCol w:w="846"/>
        <w:gridCol w:w="5728"/>
        <w:gridCol w:w="1146"/>
        <w:gridCol w:w="2750"/>
      </w:tblGrid>
      <w:tr w:rsidR="00C604B4" w:rsidRPr="00421A3B" w:rsidTr="00C74F40">
        <w:trPr>
          <w:trHeight w:val="82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01B2F">
              <w:rPr>
                <w:rFonts w:ascii="Tahoma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A01B2F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A01B2F">
              <w:rPr>
                <w:rFonts w:ascii="Tahoma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C604B4" w:rsidRPr="00421A3B" w:rsidTr="00C74F4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C604B4" w:rsidRPr="00A01B2F" w:rsidRDefault="00C604B4" w:rsidP="0065739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МУП ЖКХ "Верх-Урюмское"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за 2015г.</w:t>
            </w:r>
          </w:p>
        </w:tc>
      </w:tr>
      <w:tr w:rsidR="00C604B4" w:rsidRPr="00421A3B" w:rsidTr="00C74F40">
        <w:trPr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4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604B4" w:rsidRPr="00421A3B" w:rsidTr="00C74F40">
        <w:trPr>
          <w:trHeight w:val="2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D10:G62"/>
            <w:bookmarkEnd w:id="0"/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516,5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Wingdings 2" w:hAnsi="Wingdings 2" w:cs="Tahoma"/>
                <w:color w:val="96969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516,5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602,7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68,9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3,20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кВт.ч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21,5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8F77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108,8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32,86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30,03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9,07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227,60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9846F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30,19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30,19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26,45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61,8</w:t>
            </w:r>
          </w:p>
        </w:tc>
      </w:tr>
      <w:tr w:rsidR="00C604B4" w:rsidRPr="00421A3B" w:rsidTr="00C74F40">
        <w:trPr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G33"/>
            <w:bookmarkEnd w:id="1"/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C604B4" w:rsidRPr="00421A3B" w:rsidTr="00C74F40">
        <w:trPr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" w:name="RANGE!G34"/>
            <w:bookmarkEnd w:id="2"/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" w:name="RANGE!G35"/>
            <w:bookmarkEnd w:id="3"/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C604B4" w:rsidRPr="00421A3B" w:rsidTr="00C74F40">
        <w:trPr>
          <w:trHeight w:val="15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7,0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Wingdings 2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3,7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Wingdings 2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3,3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-86,2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36,8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A01B2F" w:rsidRDefault="00C604B4" w:rsidP="007A00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31,8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1973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5,3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1973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26,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7A00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13,6</w:t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тыс кВт.ч/тыс м3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7A00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58</w:t>
            </w:r>
          </w:p>
        </w:tc>
      </w:tr>
      <w:tr w:rsidR="00C604B4" w:rsidRPr="00421A3B" w:rsidTr="00C74F40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7A00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86,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3B2D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04B4" w:rsidRPr="00421A3B" w:rsidTr="00C74F40">
        <w:trPr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01B2F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C604B4" w:rsidRDefault="00C604B4"/>
    <w:tbl>
      <w:tblPr>
        <w:tblW w:w="11700" w:type="dxa"/>
        <w:tblInd w:w="-432" w:type="dxa"/>
        <w:tblLook w:val="00A0"/>
      </w:tblPr>
      <w:tblGrid>
        <w:gridCol w:w="644"/>
        <w:gridCol w:w="75"/>
        <w:gridCol w:w="197"/>
        <w:gridCol w:w="574"/>
        <w:gridCol w:w="2730"/>
        <w:gridCol w:w="1424"/>
        <w:gridCol w:w="1574"/>
        <w:gridCol w:w="695"/>
        <w:gridCol w:w="451"/>
        <w:gridCol w:w="107"/>
        <w:gridCol w:w="858"/>
        <w:gridCol w:w="899"/>
        <w:gridCol w:w="361"/>
        <w:gridCol w:w="525"/>
        <w:gridCol w:w="586"/>
      </w:tblGrid>
      <w:tr w:rsidR="00C604B4" w:rsidRPr="00421A3B" w:rsidTr="00C74F40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C604B4" w:rsidRPr="00421A3B" w:rsidTr="00C74F40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C604B4" w:rsidRPr="00421A3B" w:rsidTr="00C74F40">
        <w:trPr>
          <w:gridAfter w:val="1"/>
          <w:wAfter w:w="586" w:type="dxa"/>
          <w:trHeight w:val="9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01B2F" w:rsidRDefault="00C604B4" w:rsidP="00A01B2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4B4" w:rsidRPr="00A01B2F" w:rsidRDefault="00C604B4" w:rsidP="00A01B2F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hAnsi="Tahoma" w:cs="Tahoma"/>
                <w:sz w:val="18"/>
                <w:szCs w:val="18"/>
                <w:lang w:eastAsia="ru-RU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604B4" w:rsidRPr="00A01B2F" w:rsidRDefault="00C604B4" w:rsidP="00A01B2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252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AC524B">
              <w:rPr>
                <w:rFonts w:ascii="Tahoma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540"/>
        </w:trPr>
        <w:tc>
          <w:tcPr>
            <w:tcW w:w="9329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C524B">
              <w:rPr>
                <w:rFonts w:ascii="Tahoma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255"/>
        </w:trPr>
        <w:tc>
          <w:tcPr>
            <w:tcW w:w="9329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МУП ЖКХ "Верх-Урюмское"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60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405"/>
        </w:trPr>
        <w:tc>
          <w:tcPr>
            <w:tcW w:w="916" w:type="dxa"/>
            <w:gridSpan w:val="3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97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6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240"/>
        </w:trPr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" w:name="RANGE!D10:F33"/>
            <w:bookmarkEnd w:id="4"/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**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200" w:firstLine="36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случаи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9846F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675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60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C604B4" w:rsidRPr="00421A3B" w:rsidTr="00C74F40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AC524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AC524B" w:rsidRDefault="00C604B4" w:rsidP="00AC524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Приложение 2 к приказу ФСТ России от 15 мая 2013 г. N 129, Форма 2.9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342"/>
        </w:trPr>
        <w:tc>
          <w:tcPr>
            <w:tcW w:w="8471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42612">
              <w:rPr>
                <w:rFonts w:ascii="Tahoma" w:hAnsi="Tahoma" w:cs="Tahoma"/>
                <w:sz w:val="20"/>
                <w:szCs w:val="20"/>
                <w:lang w:eastAsia="ru-RU"/>
              </w:rPr>
              <w:t>Информация об инвестиционных программах и отчетах об их реализации *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55"/>
        </w:trPr>
        <w:tc>
          <w:tcPr>
            <w:tcW w:w="8471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МУП ЖКХ "Верх-Урюмское"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6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8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Wingdings 2" w:hAnsi="Wingdings 2" w:cs="Tahoma"/>
                <w:color w:val="969696"/>
                <w:lang w:eastAsia="ru-RU"/>
              </w:rPr>
            </w:pPr>
            <w:r w:rsidRPr="00E42612">
              <w:rPr>
                <w:rFonts w:ascii="Wingdings 2" w:hAnsi="Wingdings 2" w:cs="Tahoma"/>
                <w:color w:val="969696"/>
                <w:lang w:eastAsia="ru-RU"/>
              </w:rPr>
              <w:t></w:t>
            </w:r>
          </w:p>
        </w:tc>
      </w:tr>
      <w:tr w:rsidR="00C604B4" w:rsidRPr="00421A3B" w:rsidTr="00C74F40">
        <w:trPr>
          <w:gridAfter w:val="3"/>
          <w:wAfter w:w="1472" w:type="dxa"/>
          <w:trHeight w:val="465"/>
        </w:trPr>
        <w:tc>
          <w:tcPr>
            <w:tcW w:w="719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1" w:type="dxa"/>
            <w:gridSpan w:val="3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27" w:type="dxa"/>
            <w:gridSpan w:val="4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757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C604B4" w:rsidRPr="00421A3B" w:rsidTr="00C74F40">
        <w:trPr>
          <w:gridAfter w:val="3"/>
          <w:wAfter w:w="1472" w:type="dxa"/>
          <w:trHeight w:val="240"/>
        </w:trPr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C604B4" w:rsidRPr="00421A3B" w:rsidTr="00C74F40">
        <w:trPr>
          <w:gridAfter w:val="3"/>
          <w:wAfter w:w="1472" w:type="dxa"/>
          <w:trHeight w:val="247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инвестиционной программы (мероприятия)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5" w:name="RANGE!H11:H103"/>
            <w:bookmarkEnd w:id="5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Инвестиционная программа по развитию системы водоснабжения с. Верх-Урюм Верх-Урюмского сельсовета Здвинского района Новосибирской области на 2012-2015г. МУП ЖКХ "Верх-Урюмское"</w:t>
            </w:r>
          </w:p>
        </w:tc>
        <w:tc>
          <w:tcPr>
            <w:tcW w:w="17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2012-Бурение артезианской глубоководной скважины 750м.    2013-2015г. Модернизация водопровода по улицам с. Верх-Урюм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6" w:name="RANGE!H12"/>
            <w:bookmarkEnd w:id="6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20.02.2012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157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Цель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7" w:name="RANGE!H13"/>
            <w:bookmarkEnd w:id="7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уменьшение удельных затрат (повышение КПД); уменьшение издержек на производство; снижение аварийности; прочее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9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органа исполнительной власти субъекта РФ, утвердившего программу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Департамент по тарифам Новосибирской области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112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Совет Депутатов Верх-Урюмского сельсовета Здвинского района Новосибирской области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Срок начала реализации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02.07.2012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Срок окончания реализации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31.12.2015</w:t>
            </w:r>
          </w:p>
        </w:tc>
      </w:tr>
      <w:tr w:rsidR="00C604B4" w:rsidRPr="00421A3B" w:rsidTr="00C74F40">
        <w:trPr>
          <w:gridAfter w:val="3"/>
          <w:wAfter w:w="1472" w:type="dxa"/>
          <w:trHeight w:val="112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руб.):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33 726,10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33 726,10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12 916,10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12 916,10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1 938,10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1 938,10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ср-ва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10 332,00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10 332,00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163,00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прибыль, направляемая на инвестиции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315,00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8.1.5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168,00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7 410,00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7 410,00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1 111,50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1 111,50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ср-ва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5 928,00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5 928,00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242,10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242,10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12,90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8.2.5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115,50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9 100,00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1 365,00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ср-ва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7 280,00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7 280,00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250,00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14,10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105,10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8.3.6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85,80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85,80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4 300,00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3 870,00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3 870,00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250,00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42,90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14,80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8.4.5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122,30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122,30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8" w:name="RANGE!F51"/>
            <w:bookmarkEnd w:id="8"/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Срок окупаемости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9" w:name="RANGE!H54"/>
            <w:bookmarkEnd w:id="9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0" w:name="RANGE!J54"/>
            <w:bookmarkEnd w:id="10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1" w:name="RANGE!H55"/>
            <w:bookmarkEnd w:id="11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2" w:name="RANGE!J55"/>
            <w:bookmarkEnd w:id="12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Перебои в снабжении потребителей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9.2.1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3" w:name="RANGE!H57"/>
            <w:bookmarkEnd w:id="13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4" w:name="RANGE!J57"/>
            <w:bookmarkEnd w:id="14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9.2.2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5" w:name="RANGE!H58"/>
            <w:bookmarkEnd w:id="15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6" w:name="RANGE!J58"/>
            <w:bookmarkEnd w:id="16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Продолжительность (бесперебойность) поставки товаров и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9.3.1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7" w:name="RANGE!H60"/>
            <w:bookmarkEnd w:id="17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8" w:name="RANGE!J60"/>
            <w:bookmarkEnd w:id="18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9.3.2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9" w:name="RANGE!H61"/>
            <w:bookmarkEnd w:id="19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0" w:name="RANGE!J61"/>
            <w:bookmarkEnd w:id="20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Уровень потерь и неучтенного потребления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9.4.1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1" w:name="RANGE!H63"/>
            <w:bookmarkEnd w:id="21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9846F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13,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9.4.2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2" w:name="RANGE!J64"/>
            <w:bookmarkEnd w:id="22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Обеспеченность потребления товаров и услуг приборами учета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9.5.1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3" w:name="RANGE!H66"/>
            <w:bookmarkEnd w:id="23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4" w:name="RANGE!J66"/>
            <w:bookmarkEnd w:id="24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9.5.2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5" w:name="RANGE!H67"/>
            <w:bookmarkEnd w:id="25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6" w:name="RANGE!J67"/>
            <w:bookmarkEnd w:id="26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Численность населения, пользующегося услугами данной организации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9.6.1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7" w:name="RANGE!H69"/>
            <w:bookmarkEnd w:id="27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8" w:name="RANGE!J69"/>
            <w:bookmarkEnd w:id="28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9.6.2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9" w:name="RANGE!H70"/>
            <w:bookmarkEnd w:id="29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0" w:name="RANGE!J70"/>
            <w:bookmarkEnd w:id="30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Удельное водопотребление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9.7.1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1" w:name="RANGE!H72"/>
            <w:bookmarkEnd w:id="31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2" w:name="RANGE!J72"/>
            <w:bookmarkEnd w:id="32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9.7.2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3" w:name="RANGE!H73"/>
            <w:bookmarkEnd w:id="33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4" w:name="RANGE!J73"/>
            <w:bookmarkEnd w:id="34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Расход электороэнергии на поставку 1 м3 холодной воды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кВт.ч/м3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9.8.1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кВт.ч/м3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5" w:name="RANGE!H75"/>
            <w:bookmarkEnd w:id="35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6" w:name="RANGE!J75"/>
            <w:bookmarkEnd w:id="36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9.8.2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кВт.ч/м3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7" w:name="RANGE!H76"/>
            <w:bookmarkEnd w:id="37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8" w:name="RANGE!J76"/>
            <w:bookmarkEnd w:id="38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аварий на 1 км сетей холодного водоснабжения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9.9.1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9" w:name="RANGE!H78"/>
            <w:bookmarkEnd w:id="39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0" w:name="RANGE!J78"/>
            <w:bookmarkEnd w:id="40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9.9.2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1" w:name="RANGE!H79"/>
            <w:bookmarkEnd w:id="41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2" w:name="RANGE!J79"/>
            <w:bookmarkEnd w:id="42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Производительность труда на 1 человека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3" w:name="RANGE!H81"/>
            <w:bookmarkEnd w:id="43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4" w:name="RANGE!J81"/>
            <w:bookmarkEnd w:id="44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9.10.2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5" w:name="RANGE!H82"/>
            <w:bookmarkEnd w:id="45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46" w:name="RANGE!J82"/>
            <w:bookmarkEnd w:id="46"/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7" w:name="RANGE!F86"/>
            <w:bookmarkEnd w:id="47"/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показатель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Использование инвестиционных средств за отчетный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C604B4" w:rsidRPr="00421A3B" w:rsidTr="00C74F40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Всего, в том числе по источникам финансирования: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7189,46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10.0.2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10.0.3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2312,86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2312,86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10.0.4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4876,60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4876,60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557316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Прочие собственные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718,95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718,95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10.1.3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232,0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10.1.4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Pr="00E42612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486,95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Pr="00E42612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486,95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5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AEEF3"/>
            <w:vAlign w:val="center"/>
          </w:tcPr>
          <w:p w:rsidR="00C604B4" w:rsidRPr="00557316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57316">
              <w:rPr>
                <w:rFonts w:ascii="Tahoma" w:hAnsi="Tahoma" w:cs="Tahoma"/>
                <w:sz w:val="18"/>
                <w:szCs w:val="18"/>
                <w:lang w:eastAsia="ru-RU"/>
              </w:rPr>
              <w:t>Бюджет муниципального образова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359,47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359,47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10.2.1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557316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116,00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10.2.2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557316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243,47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243,47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5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AEEF3"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Бюджет субъекта РФ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6111,04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6111,04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10.3.1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FB0EC5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1964,86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1964,86</w:t>
            </w:r>
          </w:p>
        </w:tc>
      </w:tr>
      <w:tr w:rsidR="00C604B4" w:rsidRPr="00421A3B" w:rsidTr="00C74F40">
        <w:trPr>
          <w:gridAfter w:val="3"/>
          <w:wAfter w:w="1472" w:type="dxa"/>
          <w:trHeight w:val="231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10.3.2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FB0EC5" w:rsidRDefault="00C604B4" w:rsidP="00E42612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:rsidR="00C604B4" w:rsidRDefault="00C604B4" w:rsidP="00B339C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4146,18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:rsidR="00C604B4" w:rsidRDefault="00C604B4" w:rsidP="0055731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4146,18</w:t>
            </w:r>
          </w:p>
        </w:tc>
      </w:tr>
      <w:tr w:rsidR="00C604B4" w:rsidRPr="00421A3B" w:rsidTr="00C74F40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8" w:name="RANGE!F103"/>
            <w:bookmarkEnd w:id="48"/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</w:tcPr>
          <w:p w:rsidR="00C604B4" w:rsidRPr="00E42612" w:rsidRDefault="00C604B4" w:rsidP="00E42612">
            <w:pPr>
              <w:spacing w:after="0" w:line="240" w:lineRule="auto"/>
              <w:ind w:firstLineChars="100" w:firstLine="181"/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6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04B4" w:rsidRPr="00421A3B" w:rsidTr="00C74F40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4B4" w:rsidRPr="00E42612" w:rsidRDefault="00C604B4" w:rsidP="00E4261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04B4" w:rsidRPr="00421A3B" w:rsidTr="00C74F40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4B4" w:rsidRPr="00E42612" w:rsidRDefault="00C604B4" w:rsidP="00E4261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C604B4" w:rsidRDefault="00C604B4"/>
    <w:sectPr w:rsidR="00C604B4" w:rsidSect="00A01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2F"/>
    <w:rsid w:val="00041051"/>
    <w:rsid w:val="001973A6"/>
    <w:rsid w:val="00351668"/>
    <w:rsid w:val="00360BE2"/>
    <w:rsid w:val="003B2D16"/>
    <w:rsid w:val="00421A3B"/>
    <w:rsid w:val="00512020"/>
    <w:rsid w:val="0054427F"/>
    <w:rsid w:val="00557316"/>
    <w:rsid w:val="0065739D"/>
    <w:rsid w:val="00664037"/>
    <w:rsid w:val="007A0067"/>
    <w:rsid w:val="008F774E"/>
    <w:rsid w:val="009846F6"/>
    <w:rsid w:val="009D5DCE"/>
    <w:rsid w:val="009F4F14"/>
    <w:rsid w:val="00A01B2F"/>
    <w:rsid w:val="00AC524B"/>
    <w:rsid w:val="00B339CD"/>
    <w:rsid w:val="00BB2268"/>
    <w:rsid w:val="00C604B4"/>
    <w:rsid w:val="00C74F40"/>
    <w:rsid w:val="00E42612"/>
    <w:rsid w:val="00E74229"/>
    <w:rsid w:val="00FB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1794</Words>
  <Characters>10230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РИНЕТ</cp:lastModifiedBy>
  <cp:revision>16</cp:revision>
  <dcterms:created xsi:type="dcterms:W3CDTF">2015-03-12T09:53:00Z</dcterms:created>
  <dcterms:modified xsi:type="dcterms:W3CDTF">2016-03-28T08:49:00Z</dcterms:modified>
</cp:coreProperties>
</file>